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0523" w:rsidRDefault="00500523">
      <w:pPr>
        <w:pStyle w:val="Body"/>
      </w:pPr>
    </w:p>
    <w:p w:rsidR="00500523" w:rsidRPr="00266BD7" w:rsidRDefault="00266BD7" w:rsidP="00266BD7">
      <w:pPr>
        <w:pStyle w:val="Body"/>
        <w:widowControl w:val="0"/>
        <w:ind w:left="108" w:hanging="108"/>
        <w:jc w:val="right"/>
        <w:rPr>
          <w:rFonts w:ascii="Arial" w:hAnsi="Arial" w:cs="Arial"/>
          <w:b/>
          <w:bCs/>
          <w:sz w:val="24"/>
          <w:szCs w:val="24"/>
        </w:rPr>
      </w:pPr>
      <w:r w:rsidRPr="00266BD7">
        <w:rPr>
          <w:rFonts w:ascii="Arial" w:hAnsi="Arial" w:cs="Arial"/>
          <w:b/>
          <w:bCs/>
          <w:sz w:val="24"/>
          <w:szCs w:val="24"/>
          <w:lang w:val="en-US"/>
        </w:rPr>
        <w:t>Appendix 'B'</w:t>
      </w:r>
    </w:p>
    <w:tbl>
      <w:tblPr>
        <w:tblW w:w="149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53"/>
        <w:gridCol w:w="1876"/>
        <w:gridCol w:w="375"/>
        <w:gridCol w:w="236"/>
        <w:gridCol w:w="3784"/>
        <w:gridCol w:w="2265"/>
        <w:gridCol w:w="1216"/>
        <w:gridCol w:w="927"/>
      </w:tblGrid>
      <w:tr w:rsidR="00500523">
        <w:trPr>
          <w:trHeight w:val="2173"/>
        </w:trPr>
        <w:tc>
          <w:tcPr>
            <w:tcW w:w="10524" w:type="dxa"/>
            <w:gridSpan w:val="5"/>
            <w:tcBorders>
              <w:top w:val="nil"/>
              <w:left w:val="nil"/>
              <w:bottom w:val="nil"/>
              <w:right w:val="nil"/>
            </w:tcBorders>
            <w:shd w:val="clear" w:color="auto" w:fill="auto"/>
            <w:tcMar>
              <w:top w:w="80" w:type="dxa"/>
              <w:left w:w="80" w:type="dxa"/>
              <w:bottom w:w="80" w:type="dxa"/>
              <w:right w:w="80" w:type="dxa"/>
            </w:tcMar>
            <w:vAlign w:val="bottom"/>
          </w:tcPr>
          <w:p w:rsidR="00500523" w:rsidRDefault="00266BD7">
            <w:pPr>
              <w:pStyle w:val="Body"/>
              <w:rPr>
                <w:rFonts w:ascii="Arial" w:eastAsia="Arial" w:hAnsi="Arial" w:cs="Arial"/>
                <w:b/>
                <w:bCs/>
              </w:rPr>
            </w:pPr>
            <w:r>
              <w:rPr>
                <w:rFonts w:ascii="Arial" w:hAnsi="Arial"/>
                <w:b/>
                <w:bCs/>
                <w:lang w:val="en-US"/>
              </w:rPr>
              <w:t>ANNEX D: LOCAL ENTERPRISE PARTNERSHIP 2018-19 ADDITIONAL FUNDING FORM</w:t>
            </w:r>
          </w:p>
          <w:p w:rsidR="00500523" w:rsidRDefault="00500523">
            <w:pPr>
              <w:pStyle w:val="Body"/>
              <w:rPr>
                <w:rFonts w:ascii="Arial" w:eastAsia="Arial" w:hAnsi="Arial" w:cs="Arial"/>
                <w:b/>
                <w:bCs/>
                <w:lang w:val="en-US"/>
              </w:rPr>
            </w:pPr>
          </w:p>
          <w:p w:rsidR="00500523" w:rsidRDefault="00266BD7">
            <w:pPr>
              <w:pStyle w:val="Body"/>
            </w:pPr>
            <w:r>
              <w:rPr>
                <w:rFonts w:ascii="Arial" w:hAnsi="Arial"/>
                <w:lang w:val="en-US"/>
              </w:rPr>
              <w:t xml:space="preserve">LEPs should complete Annex D and return it alongside your implementation plans </w:t>
            </w:r>
            <w:r>
              <w:rPr>
                <w:rFonts w:ascii="Arial" w:hAnsi="Arial"/>
                <w:b/>
                <w:bCs/>
                <w:lang w:val="en-US"/>
              </w:rPr>
              <w:t>no later than 31 October 2018.</w:t>
            </w:r>
            <w:r>
              <w:rPr>
                <w:rFonts w:ascii="Arial" w:hAnsi="Arial"/>
                <w:b/>
                <w:bCs/>
                <w:lang w:val="en-US"/>
              </w:rPr>
              <w:t xml:space="preserve">  </w:t>
            </w:r>
            <w:r>
              <w:rPr>
                <w:rFonts w:ascii="Arial" w:hAnsi="Arial"/>
                <w:lang w:val="en-US"/>
              </w:rPr>
              <w:t xml:space="preserve">Plans should provide a sufficient level of detail on the capacity and capability that this additional funding will bring, and demonstrate how it will be spent by March 2019. You will only receive this funding if Government is satisfied that your proposals </w:t>
            </w:r>
            <w:r>
              <w:rPr>
                <w:rFonts w:ascii="Arial" w:hAnsi="Arial"/>
                <w:lang w:val="en-US"/>
              </w:rPr>
              <w:t xml:space="preserve">on geography, implementation and additional funding address the recommendations outlined in the LEP Review. These proposals should be submitted </w:t>
            </w:r>
            <w:hyperlink r:id="rId6" w:history="1">
              <w:r>
                <w:rPr>
                  <w:rStyle w:val="Hyperlink0"/>
                  <w:rFonts w:ascii="Arial" w:hAnsi="Arial"/>
                </w:rPr>
                <w:t>LEPpolicy@communities.gsi.gov.uk</w:t>
              </w:r>
            </w:hyperlink>
            <w:r>
              <w:rPr>
                <w:rFonts w:ascii="Arial" w:hAnsi="Arial"/>
                <w:lang w:val="en-US"/>
              </w:rPr>
              <w:t xml:space="preserve"> copying in your Area Lea</w:t>
            </w:r>
            <w:r>
              <w:rPr>
                <w:rFonts w:ascii="Arial" w:hAnsi="Arial"/>
                <w:lang w:val="en-US"/>
              </w:rPr>
              <w:t xml:space="preserve">d.  </w:t>
            </w:r>
            <w:bookmarkStart w:id="0" w:name="_GoBack"/>
            <w:bookmarkEnd w:id="0"/>
          </w:p>
        </w:tc>
        <w:tc>
          <w:tcPr>
            <w:tcW w:w="2265"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53"/>
        </w:trPr>
        <w:tc>
          <w:tcPr>
            <w:tcW w:w="4253"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2251" w:type="dxa"/>
            <w:gridSpan w:val="2"/>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23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3784"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2265"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53"/>
        </w:trPr>
        <w:tc>
          <w:tcPr>
            <w:tcW w:w="4253"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c>
          <w:tcPr>
            <w:tcW w:w="2251"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c>
          <w:tcPr>
            <w:tcW w:w="236"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c>
          <w:tcPr>
            <w:tcW w:w="3784"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c>
          <w:tcPr>
            <w:tcW w:w="2265"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r>
      <w:tr w:rsidR="00500523">
        <w:trPr>
          <w:trHeight w:val="733"/>
        </w:trPr>
        <w:tc>
          <w:tcPr>
            <w:tcW w:w="4253"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500523" w:rsidRDefault="00266BD7">
            <w:pPr>
              <w:pStyle w:val="Body"/>
            </w:pPr>
            <w:r>
              <w:rPr>
                <w:rFonts w:ascii="Arial" w:hAnsi="Arial"/>
                <w:b/>
                <w:bCs/>
                <w:lang w:val="en-US"/>
              </w:rPr>
              <w:t>1. Name of Local Enterprise Partnership</w:t>
            </w:r>
          </w:p>
        </w:tc>
        <w:tc>
          <w:tcPr>
            <w:tcW w:w="10679"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Lancashire Enterprise Partnership</w:t>
            </w:r>
          </w:p>
        </w:tc>
      </w:tr>
      <w:tr w:rsidR="00500523">
        <w:trPr>
          <w:trHeight w:val="1360"/>
        </w:trPr>
        <w:tc>
          <w:tcPr>
            <w:tcW w:w="4253"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500523" w:rsidRDefault="00266BD7">
            <w:pPr>
              <w:pStyle w:val="Body"/>
            </w:pPr>
            <w:r>
              <w:rPr>
                <w:rFonts w:ascii="Arial" w:hAnsi="Arial"/>
                <w:b/>
                <w:bCs/>
                <w:lang w:val="en-US"/>
              </w:rPr>
              <w:t>2. Key contact at Local Enterprise Partnership</w:t>
            </w:r>
            <w:r>
              <w:rPr>
                <w:rFonts w:ascii="Arial Unicode MS" w:eastAsia="Arial Unicode MS" w:hAnsi="Arial Unicode MS" w:cs="Arial Unicode MS"/>
                <w:lang w:val="en-US"/>
              </w:rPr>
              <w:br/>
            </w:r>
            <w:r>
              <w:rPr>
                <w:rFonts w:ascii="Arial" w:hAnsi="Arial"/>
                <w:b/>
                <w:bCs/>
                <w:lang w:val="en-US"/>
              </w:rPr>
              <w:t>(name, email, and telephone number)</w:t>
            </w:r>
          </w:p>
        </w:tc>
        <w:tc>
          <w:tcPr>
            <w:tcW w:w="10679"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00523" w:rsidRDefault="00266BD7">
            <w:pPr>
              <w:pStyle w:val="Body"/>
              <w:rPr>
                <w:rFonts w:ascii="Arial" w:eastAsia="Arial" w:hAnsi="Arial" w:cs="Arial"/>
              </w:rPr>
            </w:pPr>
            <w:r>
              <w:rPr>
                <w:rFonts w:ascii="Arial" w:hAnsi="Arial"/>
                <w:lang w:val="en-US"/>
              </w:rPr>
              <w:t>Kathryn Molloy</w:t>
            </w:r>
          </w:p>
          <w:p w:rsidR="00500523" w:rsidRDefault="00266BD7">
            <w:pPr>
              <w:pStyle w:val="Body"/>
              <w:rPr>
                <w:rFonts w:ascii="Arial" w:eastAsia="Arial" w:hAnsi="Arial" w:cs="Arial"/>
              </w:rPr>
            </w:pPr>
            <w:hyperlink r:id="rId7" w:history="1">
              <w:r>
                <w:rPr>
                  <w:rStyle w:val="Hyperlink0"/>
                  <w:rFonts w:ascii="Arial" w:hAnsi="Arial"/>
                </w:rPr>
                <w:t>Kathryn.molloy@lancashire.gov.uk</w:t>
              </w:r>
            </w:hyperlink>
          </w:p>
          <w:p w:rsidR="00500523" w:rsidRDefault="00266BD7">
            <w:pPr>
              <w:pStyle w:val="Body"/>
            </w:pPr>
            <w:r>
              <w:rPr>
                <w:rFonts w:ascii="Arial" w:hAnsi="Arial"/>
                <w:lang w:val="en-US"/>
              </w:rPr>
              <w:t>01772 538790</w:t>
            </w:r>
          </w:p>
        </w:tc>
      </w:tr>
      <w:tr w:rsidR="00500523">
        <w:trPr>
          <w:trHeight w:val="1453"/>
        </w:trPr>
        <w:tc>
          <w:tcPr>
            <w:tcW w:w="4253"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vAlign w:val="center"/>
          </w:tcPr>
          <w:p w:rsidR="00500523" w:rsidRDefault="00266BD7">
            <w:pPr>
              <w:pStyle w:val="Body"/>
            </w:pPr>
            <w:r>
              <w:rPr>
                <w:rFonts w:ascii="Arial" w:hAnsi="Arial"/>
                <w:b/>
                <w:bCs/>
                <w:lang w:val="en-US"/>
              </w:rPr>
              <w:t>3.  Name and address of Accountable Body</w:t>
            </w:r>
          </w:p>
        </w:tc>
        <w:tc>
          <w:tcPr>
            <w:tcW w:w="10679"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00523" w:rsidRDefault="00266BD7">
            <w:pPr>
              <w:pStyle w:val="Body"/>
              <w:rPr>
                <w:rFonts w:ascii="Arial" w:eastAsia="Arial" w:hAnsi="Arial" w:cs="Arial"/>
              </w:rPr>
            </w:pPr>
            <w:r>
              <w:rPr>
                <w:rFonts w:ascii="Arial" w:hAnsi="Arial"/>
                <w:lang w:val="en-US"/>
              </w:rPr>
              <w:t>Lancashire County Council</w:t>
            </w:r>
          </w:p>
          <w:p w:rsidR="00500523" w:rsidRDefault="00266BD7">
            <w:pPr>
              <w:pStyle w:val="Body"/>
              <w:rPr>
                <w:rFonts w:ascii="Arial" w:eastAsia="Arial" w:hAnsi="Arial" w:cs="Arial"/>
              </w:rPr>
            </w:pPr>
            <w:r>
              <w:rPr>
                <w:rFonts w:ascii="Arial" w:hAnsi="Arial"/>
                <w:lang w:val="en-US"/>
              </w:rPr>
              <w:t>Chief Executive</w:t>
            </w:r>
          </w:p>
          <w:p w:rsidR="00500523" w:rsidRDefault="00266BD7">
            <w:pPr>
              <w:pStyle w:val="Body"/>
              <w:rPr>
                <w:rFonts w:ascii="Arial" w:eastAsia="Arial" w:hAnsi="Arial" w:cs="Arial"/>
              </w:rPr>
            </w:pPr>
            <w:r>
              <w:rPr>
                <w:rFonts w:ascii="Arial" w:hAnsi="Arial"/>
                <w:lang w:val="en-US"/>
              </w:rPr>
              <w:t>Christ Church Precinct</w:t>
            </w:r>
          </w:p>
          <w:p w:rsidR="00500523" w:rsidRDefault="00266BD7">
            <w:pPr>
              <w:pStyle w:val="Body"/>
              <w:rPr>
                <w:rFonts w:ascii="Arial" w:eastAsia="Arial" w:hAnsi="Arial" w:cs="Arial"/>
              </w:rPr>
            </w:pPr>
            <w:r>
              <w:rPr>
                <w:rFonts w:ascii="Arial" w:hAnsi="Arial"/>
                <w:lang w:val="en-US"/>
              </w:rPr>
              <w:t>County Hall</w:t>
            </w:r>
          </w:p>
          <w:p w:rsidR="00500523" w:rsidRDefault="00266BD7">
            <w:pPr>
              <w:pStyle w:val="Body"/>
              <w:rPr>
                <w:rFonts w:ascii="Arial" w:eastAsia="Arial" w:hAnsi="Arial" w:cs="Arial"/>
              </w:rPr>
            </w:pPr>
            <w:r>
              <w:rPr>
                <w:rFonts w:ascii="Arial" w:hAnsi="Arial"/>
                <w:lang w:val="en-US"/>
              </w:rPr>
              <w:t>Preston</w:t>
            </w:r>
          </w:p>
          <w:p w:rsidR="00500523" w:rsidRDefault="00266BD7">
            <w:pPr>
              <w:pStyle w:val="Body"/>
            </w:pPr>
            <w:r>
              <w:rPr>
                <w:rFonts w:ascii="Arial" w:hAnsi="Arial"/>
                <w:lang w:val="en-US"/>
              </w:rPr>
              <w:t>PR1 8XJ</w:t>
            </w:r>
          </w:p>
        </w:tc>
      </w:tr>
      <w:tr w:rsidR="00500523">
        <w:trPr>
          <w:trHeight w:val="820"/>
        </w:trPr>
        <w:tc>
          <w:tcPr>
            <w:tcW w:w="4253"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vAlign w:val="center"/>
          </w:tcPr>
          <w:p w:rsidR="00500523" w:rsidRDefault="00266BD7">
            <w:pPr>
              <w:pStyle w:val="Body"/>
            </w:pPr>
            <w:r>
              <w:rPr>
                <w:rFonts w:ascii="Arial" w:hAnsi="Arial"/>
                <w:b/>
                <w:bCs/>
                <w:lang w:val="en-US"/>
              </w:rPr>
              <w:t xml:space="preserve">4.  Level of additional funding being sought (up to </w:t>
            </w:r>
            <w:r>
              <w:rPr>
                <w:rFonts w:ascii="Arial" w:hAnsi="Arial"/>
                <w:b/>
                <w:bCs/>
                <w:lang w:val="en-US"/>
              </w:rPr>
              <w:t>£</w:t>
            </w:r>
            <w:r>
              <w:rPr>
                <w:rFonts w:ascii="Arial" w:hAnsi="Arial"/>
                <w:b/>
                <w:bCs/>
                <w:lang w:val="en-US"/>
              </w:rPr>
              <w:t xml:space="preserve">200,000). </w:t>
            </w:r>
          </w:p>
        </w:tc>
        <w:tc>
          <w:tcPr>
            <w:tcW w:w="10679"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w:t>
            </w:r>
            <w:r>
              <w:rPr>
                <w:rFonts w:ascii="Arial" w:hAnsi="Arial"/>
                <w:lang w:val="en-US"/>
              </w:rPr>
              <w:t>200,000</w:t>
            </w:r>
          </w:p>
        </w:tc>
      </w:tr>
      <w:tr w:rsidR="00500523">
        <w:trPr>
          <w:trHeight w:val="253"/>
        </w:trPr>
        <w:tc>
          <w:tcPr>
            <w:tcW w:w="425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500523" w:rsidRDefault="00500523"/>
        </w:tc>
        <w:tc>
          <w:tcPr>
            <w:tcW w:w="2251"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c>
          <w:tcPr>
            <w:tcW w:w="23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c>
          <w:tcPr>
            <w:tcW w:w="378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c>
          <w:tcPr>
            <w:tcW w:w="226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c>
          <w:tcPr>
            <w:tcW w:w="121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c>
          <w:tcPr>
            <w:tcW w:w="92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r>
      <w:tr w:rsidR="00500523">
        <w:trPr>
          <w:trHeight w:val="820"/>
        </w:trPr>
        <w:tc>
          <w:tcPr>
            <w:tcW w:w="4253" w:type="dxa"/>
            <w:vMerge w:val="restart"/>
            <w:tcBorders>
              <w:top w:val="single" w:sz="8" w:space="0" w:color="000000"/>
              <w:left w:val="nil"/>
              <w:bottom w:val="nil"/>
              <w:right w:val="single" w:sz="8" w:space="0" w:color="000000"/>
            </w:tcBorders>
            <w:shd w:val="clear" w:color="auto" w:fill="CCCCCC"/>
            <w:tcMar>
              <w:top w:w="80" w:type="dxa"/>
              <w:left w:w="80" w:type="dxa"/>
              <w:bottom w:w="80" w:type="dxa"/>
              <w:right w:w="80" w:type="dxa"/>
            </w:tcMar>
            <w:vAlign w:val="center"/>
          </w:tcPr>
          <w:p w:rsidR="00500523" w:rsidRDefault="00266BD7">
            <w:pPr>
              <w:pStyle w:val="Body"/>
              <w:spacing w:after="240"/>
            </w:pPr>
            <w:r>
              <w:rPr>
                <w:rFonts w:ascii="Arial" w:hAnsi="Arial"/>
                <w:b/>
                <w:bCs/>
                <w:lang w:val="en-US"/>
              </w:rPr>
              <w:t>5.  Local Enterprise Partnership additional funding requirements.</w:t>
            </w:r>
            <w:r>
              <w:rPr>
                <w:rFonts w:ascii="Arial Unicode MS" w:eastAsia="Arial Unicode MS" w:hAnsi="Arial Unicode MS" w:cs="Arial Unicode MS"/>
                <w:lang w:val="en-US"/>
              </w:rPr>
              <w:br/>
            </w:r>
            <w:r>
              <w:rPr>
                <w:rFonts w:ascii="Arial Unicode MS" w:eastAsia="Arial Unicode MS" w:hAnsi="Arial Unicode MS" w:cs="Arial Unicode MS"/>
                <w:lang w:val="en-US"/>
              </w:rPr>
              <w:br/>
            </w:r>
            <w:r>
              <w:rPr>
                <w:rFonts w:ascii="Arial" w:hAnsi="Arial"/>
                <w:b/>
                <w:bCs/>
                <w:lang w:val="en-US"/>
              </w:rPr>
              <w:t>Please set out in the table the key elements of the partnership</w:t>
            </w:r>
            <w:r>
              <w:rPr>
                <w:rFonts w:ascii="Arial" w:hAnsi="Arial"/>
                <w:b/>
                <w:bCs/>
                <w:lang w:val="en-US"/>
              </w:rPr>
              <w:t>’</w:t>
            </w:r>
            <w:r>
              <w:rPr>
                <w:rFonts w:ascii="Arial" w:hAnsi="Arial"/>
                <w:b/>
                <w:bCs/>
                <w:lang w:val="en-US"/>
              </w:rPr>
              <w:t xml:space="preserve">s additional budgetary requirements by March 2019 to support the funding request of up to </w:t>
            </w:r>
            <w:r>
              <w:rPr>
                <w:rFonts w:ascii="Arial" w:hAnsi="Arial"/>
                <w:b/>
                <w:bCs/>
                <w:lang w:val="en-US"/>
              </w:rPr>
              <w:t>£</w:t>
            </w:r>
            <w:r>
              <w:rPr>
                <w:rFonts w:ascii="Arial" w:hAnsi="Arial"/>
                <w:b/>
                <w:bCs/>
                <w:lang w:val="en-US"/>
              </w:rPr>
              <w:t xml:space="preserve">200K.  </w:t>
            </w:r>
          </w:p>
        </w:tc>
        <w:tc>
          <w:tcPr>
            <w:tcW w:w="1876"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500523" w:rsidRDefault="00266BD7">
            <w:pPr>
              <w:pStyle w:val="Body"/>
            </w:pPr>
            <w:r>
              <w:rPr>
                <w:rFonts w:ascii="Arial" w:hAnsi="Arial"/>
                <w:b/>
                <w:bCs/>
                <w:lang w:val="en-US"/>
              </w:rPr>
              <w:t>£</w:t>
            </w:r>
          </w:p>
        </w:tc>
        <w:tc>
          <w:tcPr>
            <w:tcW w:w="4395" w:type="dxa"/>
            <w:gridSpan w:val="3"/>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500523" w:rsidRDefault="00266BD7">
            <w:pPr>
              <w:pStyle w:val="Body"/>
              <w:jc w:val="center"/>
            </w:pPr>
            <w:r>
              <w:rPr>
                <w:rFonts w:ascii="Arial" w:hAnsi="Arial"/>
                <w:b/>
                <w:bCs/>
                <w:lang w:val="en-US"/>
              </w:rPr>
              <w:t xml:space="preserve">Description </w:t>
            </w:r>
            <w:r>
              <w:rPr>
                <w:rFonts w:ascii="Arial" w:hAnsi="Arial"/>
                <w:b/>
                <w:bCs/>
                <w:lang w:val="en-US"/>
              </w:rPr>
              <w:t xml:space="preserve">– </w:t>
            </w:r>
            <w:r>
              <w:rPr>
                <w:rFonts w:ascii="Arial" w:hAnsi="Arial"/>
                <w:b/>
                <w:bCs/>
                <w:lang w:val="en-US"/>
              </w:rPr>
              <w:t>activities/resources</w:t>
            </w:r>
          </w:p>
        </w:tc>
        <w:tc>
          <w:tcPr>
            <w:tcW w:w="4408" w:type="dxa"/>
            <w:gridSpan w:val="3"/>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500523" w:rsidRDefault="00266BD7">
            <w:pPr>
              <w:pStyle w:val="Body"/>
              <w:jc w:val="center"/>
            </w:pPr>
            <w:r>
              <w:rPr>
                <w:rFonts w:ascii="Arial" w:hAnsi="Arial"/>
                <w:b/>
                <w:bCs/>
                <w:lang w:val="en-US"/>
              </w:rPr>
              <w:t>Why? The capability gap that it is addressing</w:t>
            </w:r>
          </w:p>
        </w:tc>
      </w:tr>
      <w:tr w:rsidR="00500523">
        <w:trPr>
          <w:trHeight w:val="1928"/>
        </w:trPr>
        <w:tc>
          <w:tcPr>
            <w:tcW w:w="4253" w:type="dxa"/>
            <w:vMerge/>
            <w:tcBorders>
              <w:top w:val="single" w:sz="8" w:space="0" w:color="000000"/>
              <w:left w:val="nil"/>
              <w:bottom w:val="nil"/>
              <w:right w:val="single" w:sz="8" w:space="0" w:color="000000"/>
            </w:tcBorders>
            <w:shd w:val="clear" w:color="auto" w:fill="CCCCCC"/>
          </w:tcPr>
          <w:p w:rsidR="00500523" w:rsidRDefault="00500523"/>
        </w:tc>
        <w:tc>
          <w:tcPr>
            <w:tcW w:w="1876"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w:t>
            </w:r>
            <w:r>
              <w:rPr>
                <w:rFonts w:ascii="Arial" w:hAnsi="Arial"/>
                <w:lang w:val="en-US"/>
              </w:rPr>
              <w:t>30,000</w:t>
            </w:r>
          </w:p>
        </w:tc>
        <w:tc>
          <w:tcPr>
            <w:tcW w:w="4395" w:type="dxa"/>
            <w:gridSpan w:val="3"/>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Interim Transition Director</w:t>
            </w:r>
          </w:p>
        </w:tc>
        <w:tc>
          <w:tcPr>
            <w:tcW w:w="4408" w:type="dxa"/>
            <w:gridSpan w:val="3"/>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 xml:space="preserve">The LEP Board has agreed to temporarily appoint a Board Director to act as Transition Director. Reflecting the intensity of the current </w:t>
            </w:r>
            <w:r>
              <w:rPr>
                <w:rFonts w:ascii="Arial" w:hAnsi="Arial"/>
                <w:lang w:val="en-US"/>
              </w:rPr>
              <w:t xml:space="preserve">change </w:t>
            </w:r>
            <w:proofErr w:type="spellStart"/>
            <w:r>
              <w:rPr>
                <w:rFonts w:ascii="Arial" w:hAnsi="Arial"/>
                <w:lang w:val="en-US"/>
              </w:rPr>
              <w:t>programme</w:t>
            </w:r>
            <w:proofErr w:type="spellEnd"/>
            <w:r>
              <w:rPr>
                <w:rFonts w:ascii="Arial" w:hAnsi="Arial"/>
                <w:lang w:val="en-US"/>
              </w:rPr>
              <w:t>, this role operates as the primary day-to-day link between the Board and core team, under the direction of the LEP Chair.</w:t>
            </w:r>
          </w:p>
        </w:tc>
      </w:tr>
      <w:tr w:rsidR="00500523">
        <w:trPr>
          <w:trHeight w:val="2643"/>
        </w:trPr>
        <w:tc>
          <w:tcPr>
            <w:tcW w:w="4253" w:type="dxa"/>
            <w:vMerge/>
            <w:tcBorders>
              <w:top w:val="single" w:sz="8" w:space="0" w:color="000000"/>
              <w:left w:val="nil"/>
              <w:bottom w:val="nil"/>
              <w:right w:val="single" w:sz="8" w:space="0" w:color="000000"/>
            </w:tcBorders>
            <w:shd w:val="clear" w:color="auto" w:fill="CCCCCC"/>
          </w:tcPr>
          <w:p w:rsidR="00500523" w:rsidRDefault="00500523"/>
        </w:tc>
        <w:tc>
          <w:tcPr>
            <w:tcW w:w="18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w:t>
            </w:r>
            <w:r>
              <w:rPr>
                <w:rFonts w:ascii="Arial" w:hAnsi="Arial"/>
                <w:lang w:val="en-US"/>
              </w:rPr>
              <w:t>10,000</w:t>
            </w:r>
            <w:r>
              <w:rPr>
                <w:rFonts w:ascii="Arial" w:hAnsi="Arial"/>
                <w:lang w:val="en-US"/>
              </w:rPr>
              <w:t> </w:t>
            </w:r>
          </w:p>
        </w:tc>
        <w:tc>
          <w:tcPr>
            <w:tcW w:w="4395"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Recruitment of a new Chair for the Lancashire Enterprise Partnership and consultation with business commun</w:t>
            </w:r>
            <w:r>
              <w:rPr>
                <w:rFonts w:ascii="Arial" w:hAnsi="Arial"/>
                <w:lang w:val="en-US"/>
              </w:rPr>
              <w:t>ity on Chair's job description and person specification including stakeholder panel during the recruitment process</w:t>
            </w:r>
          </w:p>
        </w:tc>
        <w:tc>
          <w:tcPr>
            <w:tcW w:w="4408"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The LEP will require the expertise of a specialist recruitment consultant, who will be appointed in December 2018, to assist in the appointme</w:t>
            </w:r>
            <w:r>
              <w:rPr>
                <w:rFonts w:ascii="Arial" w:hAnsi="Arial"/>
                <w:lang w:val="en-US"/>
              </w:rPr>
              <w:t xml:space="preserve">nt of a new Chair for the LEP.  Specialist consultants will </w:t>
            </w:r>
            <w:proofErr w:type="spellStart"/>
            <w:r>
              <w:rPr>
                <w:rFonts w:ascii="Arial" w:hAnsi="Arial"/>
                <w:lang w:val="en-US"/>
              </w:rPr>
              <w:t>maximise</w:t>
            </w:r>
            <w:proofErr w:type="spellEnd"/>
            <w:r>
              <w:rPr>
                <w:rFonts w:ascii="Arial" w:hAnsi="Arial"/>
                <w:lang w:val="en-US"/>
              </w:rPr>
              <w:t xml:space="preserve"> identification of suitable candidates as the LEP enters into the next phase of its maturity. Effective consultation activity with the business community will also be undertaken throughout</w:t>
            </w:r>
            <w:r>
              <w:rPr>
                <w:rFonts w:ascii="Arial" w:hAnsi="Arial"/>
                <w:lang w:val="en-US"/>
              </w:rPr>
              <w:t xml:space="preserve"> this process </w:t>
            </w:r>
          </w:p>
        </w:tc>
      </w:tr>
      <w:tr w:rsidR="00500523">
        <w:trPr>
          <w:trHeight w:val="2883"/>
        </w:trPr>
        <w:tc>
          <w:tcPr>
            <w:tcW w:w="4253" w:type="dxa"/>
            <w:vMerge/>
            <w:tcBorders>
              <w:top w:val="single" w:sz="8" w:space="0" w:color="000000"/>
              <w:left w:val="nil"/>
              <w:bottom w:val="nil"/>
              <w:right w:val="single" w:sz="8" w:space="0" w:color="000000"/>
            </w:tcBorders>
            <w:shd w:val="clear" w:color="auto" w:fill="CCCCCC"/>
          </w:tcPr>
          <w:p w:rsidR="00500523" w:rsidRDefault="00500523"/>
        </w:tc>
        <w:tc>
          <w:tcPr>
            <w:tcW w:w="18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w:t>
            </w:r>
            <w:r>
              <w:rPr>
                <w:rFonts w:ascii="Arial" w:hAnsi="Arial"/>
                <w:lang w:val="en-US"/>
              </w:rPr>
              <w:t>10,000</w:t>
            </w:r>
          </w:p>
        </w:tc>
        <w:tc>
          <w:tcPr>
            <w:tcW w:w="4395"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Consultation, communications and marketing activity to support the transition and consultation with key stakeholders including business networks</w:t>
            </w:r>
          </w:p>
        </w:tc>
        <w:tc>
          <w:tcPr>
            <w:tcW w:w="4408"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NormalWeb"/>
              <w:spacing w:before="0" w:after="0"/>
            </w:pPr>
            <w:r>
              <w:rPr>
                <w:rFonts w:ascii="Arial" w:hAnsi="Arial"/>
                <w:sz w:val="22"/>
                <w:szCs w:val="22"/>
              </w:rPr>
              <w:t xml:space="preserve">The LEP will develop a clear plan of activity to communicate the reforms to be </w:t>
            </w:r>
            <w:r>
              <w:rPr>
                <w:rFonts w:ascii="Arial" w:hAnsi="Arial"/>
                <w:sz w:val="22"/>
                <w:szCs w:val="22"/>
              </w:rPr>
              <w:t xml:space="preserve">implemented as a result of the LEP Review. This will include consultation with key stakeholders, including business networks including the Chambers of Commerce (East and North &amp; West Lancashire), the Federation of Small Businesses and the CBI along with a </w:t>
            </w:r>
            <w:r>
              <w:rPr>
                <w:rFonts w:ascii="Arial" w:hAnsi="Arial"/>
                <w:sz w:val="22"/>
                <w:szCs w:val="22"/>
              </w:rPr>
              <w:t>wider awareness and engagement campaign across our communities.</w:t>
            </w:r>
          </w:p>
        </w:tc>
      </w:tr>
      <w:tr w:rsidR="00500523">
        <w:trPr>
          <w:trHeight w:val="7203"/>
        </w:trPr>
        <w:tc>
          <w:tcPr>
            <w:tcW w:w="4253" w:type="dxa"/>
            <w:vMerge/>
            <w:tcBorders>
              <w:top w:val="single" w:sz="8" w:space="0" w:color="000000"/>
              <w:left w:val="nil"/>
              <w:bottom w:val="nil"/>
              <w:right w:val="single" w:sz="8" w:space="0" w:color="000000"/>
            </w:tcBorders>
            <w:shd w:val="clear" w:color="auto" w:fill="CCCCCC"/>
          </w:tcPr>
          <w:p w:rsidR="00500523" w:rsidRDefault="00500523"/>
        </w:tc>
        <w:tc>
          <w:tcPr>
            <w:tcW w:w="18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rPr>
                <w:rFonts w:ascii="Arial" w:eastAsia="Arial" w:hAnsi="Arial" w:cs="Arial"/>
              </w:rPr>
            </w:pPr>
            <w:r>
              <w:rPr>
                <w:rFonts w:ascii="Arial" w:hAnsi="Arial"/>
                <w:lang w:val="en-US"/>
              </w:rPr>
              <w:t>£</w:t>
            </w:r>
            <w:r>
              <w:rPr>
                <w:rFonts w:ascii="Arial" w:hAnsi="Arial"/>
                <w:lang w:val="en-US"/>
              </w:rPr>
              <w:t>40,000</w:t>
            </w:r>
          </w:p>
          <w:p w:rsidR="00500523" w:rsidRDefault="00266BD7">
            <w:pPr>
              <w:pStyle w:val="Body"/>
            </w:pPr>
            <w:r>
              <w:rPr>
                <w:rFonts w:ascii="Arial" w:hAnsi="Arial"/>
                <w:lang w:val="en-US"/>
              </w:rPr>
              <w:t> </w:t>
            </w:r>
          </w:p>
        </w:tc>
        <w:tc>
          <w:tcPr>
            <w:tcW w:w="4395"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Independent legal advice to support the transition period</w:t>
            </w:r>
          </w:p>
        </w:tc>
        <w:tc>
          <w:tcPr>
            <w:tcW w:w="4408"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 xml:space="preserve">As the LEP moves towards establishing itself as an </w:t>
            </w:r>
            <w:proofErr w:type="spellStart"/>
            <w:r>
              <w:rPr>
                <w:rFonts w:ascii="Arial" w:hAnsi="Arial"/>
                <w:lang w:val="en-US"/>
              </w:rPr>
              <w:t>organisation</w:t>
            </w:r>
            <w:proofErr w:type="spellEnd"/>
            <w:r>
              <w:rPr>
                <w:rFonts w:ascii="Arial" w:hAnsi="Arial"/>
                <w:lang w:val="en-US"/>
              </w:rPr>
              <w:t xml:space="preserve"> independent of the host local authority, there will be a </w:t>
            </w:r>
            <w:r>
              <w:rPr>
                <w:rFonts w:ascii="Arial" w:hAnsi="Arial"/>
                <w:lang w:val="en-US"/>
              </w:rPr>
              <w:t xml:space="preserve">requirement of the LEP to source independent legal advice on a range of matters including (but not exclusively): legal entity / Articles of Association, HR and TUPE / </w:t>
            </w:r>
            <w:proofErr w:type="spellStart"/>
            <w:r>
              <w:rPr>
                <w:rFonts w:ascii="Arial" w:hAnsi="Arial"/>
                <w:lang w:val="en-US"/>
              </w:rPr>
              <w:t>secondment</w:t>
            </w:r>
            <w:proofErr w:type="spellEnd"/>
            <w:r>
              <w:rPr>
                <w:rFonts w:ascii="Arial" w:hAnsi="Arial"/>
                <w:lang w:val="en-US"/>
              </w:rPr>
              <w:t xml:space="preserve"> implications for core LEP executive team, company secretary functions and acco</w:t>
            </w:r>
            <w:r>
              <w:rPr>
                <w:rFonts w:ascii="Arial" w:hAnsi="Arial"/>
                <w:lang w:val="en-US"/>
              </w:rPr>
              <w:t xml:space="preserve">untabilities to ensure the new </w:t>
            </w:r>
            <w:proofErr w:type="spellStart"/>
            <w:r>
              <w:rPr>
                <w:rFonts w:ascii="Arial" w:hAnsi="Arial"/>
                <w:lang w:val="en-US"/>
              </w:rPr>
              <w:t>organisation</w:t>
            </w:r>
            <w:proofErr w:type="spellEnd"/>
            <w:r>
              <w:rPr>
                <w:rFonts w:ascii="Arial" w:hAnsi="Arial"/>
                <w:lang w:val="en-US"/>
              </w:rPr>
              <w:t xml:space="preserve"> is not in breach of company and employment law and understands the requirements of both the LEP Board and core executive team to ensure future compliance of all aspects of company law.  As the LEP de-couples from</w:t>
            </w:r>
            <w:r>
              <w:rPr>
                <w:rFonts w:ascii="Arial" w:hAnsi="Arial"/>
                <w:lang w:val="en-US"/>
              </w:rPr>
              <w:t xml:space="preserve"> the host local authority, it will no longer be in a position to access some of the 'pro-bono' services previously offered by the council.  There may also be a requirement to contribute to the cost to ensure sufficient legal capacity within the host </w:t>
            </w:r>
            <w:proofErr w:type="spellStart"/>
            <w:r>
              <w:rPr>
                <w:rFonts w:ascii="Arial" w:hAnsi="Arial"/>
                <w:lang w:val="en-US"/>
              </w:rPr>
              <w:t>organi</w:t>
            </w:r>
            <w:r>
              <w:rPr>
                <w:rFonts w:ascii="Arial" w:hAnsi="Arial"/>
                <w:lang w:val="en-US"/>
              </w:rPr>
              <w:t>sation</w:t>
            </w:r>
            <w:proofErr w:type="spellEnd"/>
            <w:r>
              <w:rPr>
                <w:rFonts w:ascii="Arial" w:hAnsi="Arial"/>
                <w:lang w:val="en-US"/>
              </w:rPr>
              <w:t xml:space="preserve"> legal team to aid with the legal implications of company separation as well as the implications for existing agreements with recipients of LEP funding.  Lack of capacity within the host </w:t>
            </w:r>
            <w:proofErr w:type="spellStart"/>
            <w:r>
              <w:rPr>
                <w:rFonts w:ascii="Arial" w:hAnsi="Arial"/>
                <w:lang w:val="en-US"/>
              </w:rPr>
              <w:t>organisation</w:t>
            </w:r>
            <w:proofErr w:type="spellEnd"/>
            <w:r>
              <w:rPr>
                <w:rFonts w:ascii="Arial" w:hAnsi="Arial"/>
                <w:lang w:val="en-US"/>
              </w:rPr>
              <w:t xml:space="preserve"> could severely hinder the separation process.</w:t>
            </w:r>
          </w:p>
        </w:tc>
      </w:tr>
      <w:tr w:rsidR="00500523">
        <w:trPr>
          <w:trHeight w:val="3603"/>
        </w:trPr>
        <w:tc>
          <w:tcPr>
            <w:tcW w:w="4253" w:type="dxa"/>
            <w:vMerge/>
            <w:tcBorders>
              <w:top w:val="single" w:sz="8" w:space="0" w:color="000000"/>
              <w:left w:val="nil"/>
              <w:bottom w:val="nil"/>
              <w:right w:val="single" w:sz="8" w:space="0" w:color="000000"/>
            </w:tcBorders>
            <w:shd w:val="clear" w:color="auto" w:fill="CCCCCC"/>
          </w:tcPr>
          <w:p w:rsidR="00500523" w:rsidRDefault="00500523"/>
        </w:tc>
        <w:tc>
          <w:tcPr>
            <w:tcW w:w="18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rPr>
                <w:rFonts w:ascii="Arial" w:eastAsia="Arial" w:hAnsi="Arial" w:cs="Arial"/>
              </w:rPr>
            </w:pPr>
            <w:r>
              <w:rPr>
                <w:rFonts w:ascii="Arial" w:hAnsi="Arial"/>
                <w:lang w:val="en-US"/>
              </w:rPr>
              <w:t>£</w:t>
            </w:r>
            <w:r>
              <w:rPr>
                <w:rFonts w:ascii="Arial" w:hAnsi="Arial"/>
                <w:lang w:val="en-US"/>
              </w:rPr>
              <w:t>40,000</w:t>
            </w:r>
            <w:r>
              <w:rPr>
                <w:rFonts w:ascii="Arial" w:hAnsi="Arial"/>
                <w:lang w:val="en-US"/>
              </w:rPr>
              <w:t> </w:t>
            </w:r>
          </w:p>
          <w:p w:rsidR="00500523" w:rsidRDefault="00266BD7">
            <w:pPr>
              <w:pStyle w:val="Body"/>
            </w:pPr>
            <w:r>
              <w:rPr>
                <w:rFonts w:ascii="Arial" w:hAnsi="Arial"/>
                <w:lang w:val="en-US"/>
              </w:rPr>
              <w:t> </w:t>
            </w:r>
          </w:p>
        </w:tc>
        <w:tc>
          <w:tcPr>
            <w:tcW w:w="4395"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Independent financial advice to support the transition period</w:t>
            </w:r>
          </w:p>
        </w:tc>
        <w:tc>
          <w:tcPr>
            <w:tcW w:w="4408"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 xml:space="preserve">As the LEP moves towards establishing itself as an </w:t>
            </w:r>
            <w:proofErr w:type="spellStart"/>
            <w:r>
              <w:rPr>
                <w:rFonts w:ascii="Arial" w:hAnsi="Arial"/>
                <w:lang w:val="en-US"/>
              </w:rPr>
              <w:t>organisation</w:t>
            </w:r>
            <w:proofErr w:type="spellEnd"/>
            <w:r>
              <w:rPr>
                <w:rFonts w:ascii="Arial" w:hAnsi="Arial"/>
                <w:lang w:val="en-US"/>
              </w:rPr>
              <w:t xml:space="preserve"> independent of the host local authority, the will be a requirement of the LEP to source independent finance advice to pr</w:t>
            </w:r>
            <w:r>
              <w:rPr>
                <w:rFonts w:ascii="Arial" w:hAnsi="Arial"/>
                <w:lang w:val="en-US"/>
              </w:rPr>
              <w:t>ovide an appraisal of the options available to the Board and consequent implications of independence including (but not exclusively): the business operating model; investment opportunities; the VAT, tax, pensions and insurance implications of independence;</w:t>
            </w:r>
            <w:r>
              <w:rPr>
                <w:rFonts w:ascii="Arial" w:hAnsi="Arial"/>
                <w:lang w:val="en-US"/>
              </w:rPr>
              <w:t xml:space="preserve"> financial regulation requirements for providing loans; audit and preparation of company accounts.</w:t>
            </w:r>
          </w:p>
        </w:tc>
      </w:tr>
      <w:tr w:rsidR="00500523">
        <w:trPr>
          <w:trHeight w:val="2403"/>
        </w:trPr>
        <w:tc>
          <w:tcPr>
            <w:tcW w:w="4253" w:type="dxa"/>
            <w:vMerge/>
            <w:tcBorders>
              <w:top w:val="single" w:sz="8" w:space="0" w:color="000000"/>
              <w:left w:val="nil"/>
              <w:bottom w:val="nil"/>
              <w:right w:val="single" w:sz="8" w:space="0" w:color="000000"/>
            </w:tcBorders>
            <w:shd w:val="clear" w:color="auto" w:fill="CCCCCC"/>
          </w:tcPr>
          <w:p w:rsidR="00500523" w:rsidRDefault="00500523"/>
        </w:tc>
        <w:tc>
          <w:tcPr>
            <w:tcW w:w="18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rPr>
                <w:rFonts w:ascii="Arial" w:eastAsia="Arial" w:hAnsi="Arial" w:cs="Arial"/>
              </w:rPr>
            </w:pPr>
            <w:r>
              <w:rPr>
                <w:rFonts w:ascii="Arial" w:hAnsi="Arial"/>
                <w:lang w:val="en-US"/>
              </w:rPr>
              <w:t>£</w:t>
            </w:r>
            <w:r>
              <w:rPr>
                <w:rFonts w:ascii="Arial" w:hAnsi="Arial"/>
                <w:lang w:val="en-US"/>
              </w:rPr>
              <w:t>20,000</w:t>
            </w:r>
          </w:p>
          <w:p w:rsidR="00500523" w:rsidRDefault="00266BD7">
            <w:pPr>
              <w:pStyle w:val="Body"/>
            </w:pPr>
            <w:r>
              <w:rPr>
                <w:rFonts w:ascii="Arial" w:hAnsi="Arial"/>
                <w:lang w:val="en-US"/>
              </w:rPr>
              <w:t> </w:t>
            </w:r>
          </w:p>
        </w:tc>
        <w:tc>
          <w:tcPr>
            <w:tcW w:w="4395"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Establishing independent IT infrastructure</w:t>
            </w:r>
          </w:p>
        </w:tc>
        <w:tc>
          <w:tcPr>
            <w:tcW w:w="4408"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 xml:space="preserve">As a result of the requirement for the LEP to become an entity independent from the host local </w:t>
            </w:r>
            <w:r>
              <w:rPr>
                <w:rFonts w:ascii="Arial" w:hAnsi="Arial"/>
                <w:lang w:val="en-US"/>
              </w:rPr>
              <w:t>authority, the core executive team will no longer be able to access the IT infrastructure and associated operating systems of the host authority.  There will therefore be a need to acquire IT equipment and associated infrastructure including finance and ac</w:t>
            </w:r>
            <w:r>
              <w:rPr>
                <w:rFonts w:ascii="Arial" w:hAnsi="Arial"/>
                <w:lang w:val="en-US"/>
              </w:rPr>
              <w:t>counting packages.</w:t>
            </w:r>
          </w:p>
        </w:tc>
      </w:tr>
      <w:tr w:rsidR="00500523">
        <w:trPr>
          <w:trHeight w:val="2163"/>
        </w:trPr>
        <w:tc>
          <w:tcPr>
            <w:tcW w:w="4253" w:type="dxa"/>
            <w:vMerge/>
            <w:tcBorders>
              <w:top w:val="single" w:sz="8" w:space="0" w:color="000000"/>
              <w:left w:val="nil"/>
              <w:bottom w:val="nil"/>
              <w:right w:val="single" w:sz="8" w:space="0" w:color="000000"/>
            </w:tcBorders>
            <w:shd w:val="clear" w:color="auto" w:fill="CCCCCC"/>
          </w:tcPr>
          <w:p w:rsidR="00500523" w:rsidRDefault="00500523"/>
        </w:tc>
        <w:tc>
          <w:tcPr>
            <w:tcW w:w="18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rPr>
                <w:rFonts w:ascii="Arial" w:eastAsia="Arial" w:hAnsi="Arial" w:cs="Arial"/>
              </w:rPr>
            </w:pPr>
            <w:r>
              <w:rPr>
                <w:rFonts w:ascii="Arial" w:hAnsi="Arial"/>
                <w:lang w:val="en-US"/>
              </w:rPr>
              <w:t>£</w:t>
            </w:r>
            <w:r>
              <w:rPr>
                <w:rFonts w:ascii="Arial" w:hAnsi="Arial"/>
                <w:lang w:val="en-US"/>
              </w:rPr>
              <w:t>35,000</w:t>
            </w:r>
            <w:r>
              <w:rPr>
                <w:rFonts w:ascii="Arial" w:hAnsi="Arial"/>
                <w:lang w:val="en-US"/>
              </w:rPr>
              <w:t> </w:t>
            </w:r>
          </w:p>
          <w:p w:rsidR="00500523" w:rsidRDefault="00266BD7">
            <w:pPr>
              <w:pStyle w:val="Body"/>
            </w:pPr>
            <w:r>
              <w:rPr>
                <w:rFonts w:ascii="Arial" w:hAnsi="Arial"/>
                <w:lang w:val="en-US"/>
              </w:rPr>
              <w:t> </w:t>
            </w:r>
          </w:p>
        </w:tc>
        <w:tc>
          <w:tcPr>
            <w:tcW w:w="4395"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Identifying and securing suitable accommodation to house LEP executive support</w:t>
            </w:r>
          </w:p>
        </w:tc>
        <w:tc>
          <w:tcPr>
            <w:tcW w:w="4408"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 xml:space="preserve">As a result of the requirement for the LEP to become an entity independent from the host local authority, the core executive team will no longer </w:t>
            </w:r>
            <w:r>
              <w:rPr>
                <w:rFonts w:ascii="Arial" w:hAnsi="Arial"/>
                <w:lang w:val="en-US"/>
              </w:rPr>
              <w:t>be housed free of charge within the host authority.  New, accessible, serviced accommodation will therefore need to be sourced and secured in advance of the 1</w:t>
            </w:r>
            <w:r>
              <w:rPr>
                <w:rFonts w:ascii="Arial" w:hAnsi="Arial"/>
                <w:vertAlign w:val="superscript"/>
                <w:lang w:val="en-US"/>
              </w:rPr>
              <w:t>st</w:t>
            </w:r>
            <w:r>
              <w:rPr>
                <w:rFonts w:ascii="Arial" w:hAnsi="Arial"/>
                <w:lang w:val="en-US"/>
              </w:rPr>
              <w:t xml:space="preserve"> April 2019.</w:t>
            </w:r>
          </w:p>
        </w:tc>
      </w:tr>
      <w:tr w:rsidR="00500523">
        <w:trPr>
          <w:trHeight w:val="3843"/>
        </w:trPr>
        <w:tc>
          <w:tcPr>
            <w:tcW w:w="4253" w:type="dxa"/>
            <w:vMerge/>
            <w:tcBorders>
              <w:top w:val="single" w:sz="8" w:space="0" w:color="000000"/>
              <w:left w:val="nil"/>
              <w:bottom w:val="nil"/>
              <w:right w:val="single" w:sz="8" w:space="0" w:color="000000"/>
            </w:tcBorders>
            <w:shd w:val="clear" w:color="auto" w:fill="CCCCCC"/>
          </w:tcPr>
          <w:p w:rsidR="00500523" w:rsidRDefault="00500523"/>
        </w:tc>
        <w:tc>
          <w:tcPr>
            <w:tcW w:w="18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rPr>
                <w:rFonts w:ascii="Arial" w:eastAsia="Arial" w:hAnsi="Arial" w:cs="Arial"/>
              </w:rPr>
            </w:pPr>
            <w:r>
              <w:rPr>
                <w:rFonts w:ascii="Arial" w:hAnsi="Arial"/>
                <w:lang w:val="en-US"/>
              </w:rPr>
              <w:t>£</w:t>
            </w:r>
            <w:r>
              <w:rPr>
                <w:rFonts w:ascii="Arial" w:hAnsi="Arial"/>
                <w:lang w:val="en-US"/>
              </w:rPr>
              <w:t>10,000</w:t>
            </w:r>
            <w:r>
              <w:rPr>
                <w:rFonts w:ascii="Arial" w:hAnsi="Arial"/>
                <w:lang w:val="en-US"/>
              </w:rPr>
              <w:t> </w:t>
            </w:r>
          </w:p>
          <w:p w:rsidR="00500523" w:rsidRDefault="00266BD7">
            <w:pPr>
              <w:pStyle w:val="Body"/>
            </w:pPr>
            <w:r>
              <w:rPr>
                <w:rFonts w:ascii="Arial" w:hAnsi="Arial"/>
                <w:lang w:val="en-US"/>
              </w:rPr>
              <w:t> </w:t>
            </w:r>
          </w:p>
        </w:tc>
        <w:tc>
          <w:tcPr>
            <w:tcW w:w="4395"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Coaching and development for LEP Board members</w:t>
            </w:r>
          </w:p>
        </w:tc>
        <w:tc>
          <w:tcPr>
            <w:tcW w:w="4408"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 xml:space="preserve">As the LEP becomes an </w:t>
            </w:r>
            <w:r>
              <w:rPr>
                <w:rFonts w:ascii="Arial" w:hAnsi="Arial"/>
                <w:lang w:val="en-US"/>
              </w:rPr>
              <w:t xml:space="preserve">independent </w:t>
            </w:r>
            <w:proofErr w:type="spellStart"/>
            <w:r>
              <w:rPr>
                <w:rFonts w:ascii="Arial" w:hAnsi="Arial"/>
                <w:lang w:val="en-US"/>
              </w:rPr>
              <w:t>organisation</w:t>
            </w:r>
            <w:proofErr w:type="spellEnd"/>
            <w:r>
              <w:rPr>
                <w:rFonts w:ascii="Arial" w:hAnsi="Arial"/>
                <w:lang w:val="en-US"/>
              </w:rPr>
              <w:t xml:space="preserve"> in its own right, responsibilities and services previously absorbed by the host local authority will no longer be available.  All functions and responsibilities (financial, legal or otherwise) associated with company ownership will</w:t>
            </w:r>
            <w:r>
              <w:rPr>
                <w:rFonts w:ascii="Arial" w:hAnsi="Arial"/>
                <w:lang w:val="en-US"/>
              </w:rPr>
              <w:t xml:space="preserve"> need to be understood and overseen by the LEP Board.  The independent legal and financial advice detailed above will provide an understanding of what skills and knowledge is required.  A skills audit of LEP Board members will be conducted and gaps in skil</w:t>
            </w:r>
            <w:r>
              <w:rPr>
                <w:rFonts w:ascii="Arial" w:hAnsi="Arial"/>
                <w:lang w:val="en-US"/>
              </w:rPr>
              <w:t>ls/ knowledge will be addressed with this funding</w:t>
            </w:r>
          </w:p>
        </w:tc>
      </w:tr>
      <w:tr w:rsidR="00500523">
        <w:trPr>
          <w:trHeight w:val="4803"/>
        </w:trPr>
        <w:tc>
          <w:tcPr>
            <w:tcW w:w="4253" w:type="dxa"/>
            <w:vMerge/>
            <w:tcBorders>
              <w:top w:val="single" w:sz="8" w:space="0" w:color="000000"/>
              <w:left w:val="nil"/>
              <w:bottom w:val="nil"/>
              <w:right w:val="single" w:sz="8" w:space="0" w:color="000000"/>
            </w:tcBorders>
            <w:shd w:val="clear" w:color="auto" w:fill="CCCCCC"/>
          </w:tcPr>
          <w:p w:rsidR="00500523" w:rsidRDefault="00500523"/>
        </w:tc>
        <w:tc>
          <w:tcPr>
            <w:tcW w:w="18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rPr>
                <w:rFonts w:ascii="Arial" w:eastAsia="Arial" w:hAnsi="Arial" w:cs="Arial"/>
              </w:rPr>
            </w:pPr>
            <w:r>
              <w:rPr>
                <w:rFonts w:ascii="Arial" w:hAnsi="Arial"/>
                <w:lang w:val="en-US"/>
              </w:rPr>
              <w:t>£</w:t>
            </w:r>
            <w:r>
              <w:rPr>
                <w:rFonts w:ascii="Arial" w:hAnsi="Arial"/>
                <w:lang w:val="en-US"/>
              </w:rPr>
              <w:t>5,000</w:t>
            </w:r>
            <w:r>
              <w:rPr>
                <w:rFonts w:ascii="Arial" w:hAnsi="Arial"/>
                <w:lang w:val="en-US"/>
              </w:rPr>
              <w:t> </w:t>
            </w:r>
          </w:p>
          <w:p w:rsidR="00500523" w:rsidRDefault="00266BD7">
            <w:pPr>
              <w:pStyle w:val="Body"/>
            </w:pPr>
            <w:r>
              <w:rPr>
                <w:rFonts w:ascii="Arial" w:hAnsi="Arial"/>
                <w:lang w:val="en-US"/>
              </w:rPr>
              <w:t> </w:t>
            </w:r>
          </w:p>
        </w:tc>
        <w:tc>
          <w:tcPr>
            <w:tcW w:w="4395"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Coaching and development for core LEP executive support team</w:t>
            </w:r>
          </w:p>
        </w:tc>
        <w:tc>
          <w:tcPr>
            <w:tcW w:w="4408"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 xml:space="preserve">As the LEP becomes an independent </w:t>
            </w:r>
            <w:proofErr w:type="spellStart"/>
            <w:r>
              <w:rPr>
                <w:rFonts w:ascii="Arial" w:hAnsi="Arial"/>
                <w:lang w:val="en-US"/>
              </w:rPr>
              <w:t>organisation</w:t>
            </w:r>
            <w:proofErr w:type="spellEnd"/>
            <w:r>
              <w:rPr>
                <w:rFonts w:ascii="Arial" w:hAnsi="Arial"/>
                <w:lang w:val="en-US"/>
              </w:rPr>
              <w:t xml:space="preserve"> in its own right, responsibilities and services previously absorbed by the host local authority will no longer be available.  All functions and responsibilities (financial, legal or otherwise) associated with </w:t>
            </w:r>
            <w:r>
              <w:rPr>
                <w:rFonts w:ascii="Arial" w:hAnsi="Arial"/>
                <w:lang w:val="en-US"/>
              </w:rPr>
              <w:t>company ownership will need to be understood and in some cases performed by some of the LEP's executive core team.  The independent legal and financial advice detailed above will provide an understanding of what skills and knowledge is required and relevan</w:t>
            </w:r>
            <w:r>
              <w:rPr>
                <w:rFonts w:ascii="Arial" w:hAnsi="Arial"/>
                <w:lang w:val="en-US"/>
              </w:rPr>
              <w:t xml:space="preserve">t training identified.  It is also likely that the roles and responsibilities of the LEP executive core team will change to reflect the new structure.  Training may also be required to support the flex in roles. </w:t>
            </w:r>
          </w:p>
        </w:tc>
      </w:tr>
      <w:tr w:rsidR="00500523">
        <w:trPr>
          <w:trHeight w:val="728"/>
        </w:trPr>
        <w:tc>
          <w:tcPr>
            <w:tcW w:w="4253" w:type="dxa"/>
            <w:vMerge/>
            <w:tcBorders>
              <w:top w:val="single" w:sz="8" w:space="0" w:color="000000"/>
              <w:left w:val="nil"/>
              <w:bottom w:val="nil"/>
              <w:right w:val="single" w:sz="8" w:space="0" w:color="000000"/>
            </w:tcBorders>
            <w:shd w:val="clear" w:color="auto" w:fill="CCCCCC"/>
          </w:tcPr>
          <w:p w:rsidR="00500523" w:rsidRDefault="00500523"/>
        </w:tc>
        <w:tc>
          <w:tcPr>
            <w:tcW w:w="18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rPr>
                <w:rFonts w:ascii="Arial" w:eastAsia="Arial" w:hAnsi="Arial" w:cs="Arial"/>
                <w:b/>
                <w:bCs/>
              </w:rPr>
            </w:pPr>
            <w:r>
              <w:rPr>
                <w:rFonts w:ascii="Arial" w:hAnsi="Arial"/>
                <w:lang w:val="en-US"/>
              </w:rPr>
              <w:t> </w:t>
            </w:r>
            <w:r>
              <w:rPr>
                <w:rFonts w:ascii="Arial" w:hAnsi="Arial"/>
                <w:b/>
                <w:bCs/>
                <w:lang w:val="en-US"/>
              </w:rPr>
              <w:t xml:space="preserve">Total: </w:t>
            </w:r>
            <w:r>
              <w:rPr>
                <w:rFonts w:ascii="Arial" w:hAnsi="Arial"/>
                <w:b/>
                <w:bCs/>
                <w:lang w:val="en-US"/>
              </w:rPr>
              <w:t>£</w:t>
            </w:r>
            <w:r>
              <w:rPr>
                <w:rFonts w:ascii="Arial" w:hAnsi="Arial"/>
                <w:b/>
                <w:bCs/>
                <w:lang w:val="en-US"/>
              </w:rPr>
              <w:t>200,000</w:t>
            </w:r>
          </w:p>
          <w:p w:rsidR="00500523" w:rsidRDefault="00266BD7">
            <w:pPr>
              <w:pStyle w:val="Body"/>
            </w:pPr>
            <w:r>
              <w:rPr>
                <w:rFonts w:ascii="Arial" w:hAnsi="Arial"/>
                <w:lang w:val="en-US"/>
              </w:rPr>
              <w:t> </w:t>
            </w:r>
          </w:p>
        </w:tc>
        <w:tc>
          <w:tcPr>
            <w:tcW w:w="4395"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 </w:t>
            </w:r>
          </w:p>
        </w:tc>
        <w:tc>
          <w:tcPr>
            <w:tcW w:w="4408"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 </w:t>
            </w:r>
          </w:p>
        </w:tc>
      </w:tr>
      <w:tr w:rsidR="00500523">
        <w:trPr>
          <w:trHeight w:val="253"/>
        </w:trPr>
        <w:tc>
          <w:tcPr>
            <w:tcW w:w="4253" w:type="dxa"/>
            <w:tcBorders>
              <w:top w:val="nil"/>
              <w:left w:val="nil"/>
              <w:bottom w:val="nil"/>
              <w:right w:val="nil"/>
            </w:tcBorders>
            <w:shd w:val="clear" w:color="auto" w:fill="auto"/>
            <w:tcMar>
              <w:top w:w="80" w:type="dxa"/>
              <w:left w:w="80" w:type="dxa"/>
              <w:bottom w:w="80" w:type="dxa"/>
              <w:right w:w="80" w:type="dxa"/>
            </w:tcMar>
            <w:vAlign w:val="center"/>
          </w:tcPr>
          <w:p w:rsidR="00500523" w:rsidRDefault="00500523"/>
        </w:tc>
        <w:tc>
          <w:tcPr>
            <w:tcW w:w="2251" w:type="dxa"/>
            <w:gridSpan w:val="2"/>
            <w:tcBorders>
              <w:top w:val="single" w:sz="4" w:space="0" w:color="000000"/>
              <w:left w:val="nil"/>
              <w:bottom w:val="nil"/>
              <w:right w:val="nil"/>
            </w:tcBorders>
            <w:shd w:val="clear" w:color="auto" w:fill="auto"/>
            <w:tcMar>
              <w:top w:w="80" w:type="dxa"/>
              <w:left w:w="80" w:type="dxa"/>
              <w:bottom w:w="80" w:type="dxa"/>
              <w:right w:w="80" w:type="dxa"/>
            </w:tcMar>
            <w:vAlign w:val="bottom"/>
          </w:tcPr>
          <w:p w:rsidR="00500523" w:rsidRDefault="00500523"/>
        </w:tc>
        <w:tc>
          <w:tcPr>
            <w:tcW w:w="236"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500523" w:rsidRDefault="00500523"/>
        </w:tc>
        <w:tc>
          <w:tcPr>
            <w:tcW w:w="378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500523" w:rsidRDefault="00500523"/>
        </w:tc>
        <w:tc>
          <w:tcPr>
            <w:tcW w:w="2265"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53"/>
        </w:trPr>
        <w:tc>
          <w:tcPr>
            <w:tcW w:w="4253" w:type="dxa"/>
            <w:tcBorders>
              <w:top w:val="nil"/>
              <w:left w:val="nil"/>
              <w:bottom w:val="nil"/>
              <w:right w:val="nil"/>
            </w:tcBorders>
            <w:shd w:val="clear" w:color="auto" w:fill="auto"/>
            <w:tcMar>
              <w:top w:w="80" w:type="dxa"/>
              <w:left w:w="80" w:type="dxa"/>
              <w:bottom w:w="80" w:type="dxa"/>
              <w:right w:w="80" w:type="dxa"/>
            </w:tcMar>
            <w:vAlign w:val="center"/>
          </w:tcPr>
          <w:p w:rsidR="00500523" w:rsidRDefault="00500523"/>
        </w:tc>
        <w:tc>
          <w:tcPr>
            <w:tcW w:w="2251" w:type="dxa"/>
            <w:gridSpan w:val="2"/>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23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3784"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2265"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53"/>
        </w:trPr>
        <w:tc>
          <w:tcPr>
            <w:tcW w:w="4253"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500523" w:rsidRDefault="00266BD7">
            <w:pPr>
              <w:pStyle w:val="Body"/>
            </w:pPr>
            <w:r>
              <w:rPr>
                <w:rFonts w:ascii="Arial" w:hAnsi="Arial"/>
                <w:lang w:val="en-US"/>
              </w:rPr>
              <w:t> </w:t>
            </w:r>
          </w:p>
        </w:tc>
        <w:tc>
          <w:tcPr>
            <w:tcW w:w="2251"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c>
          <w:tcPr>
            <w:tcW w:w="236"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c>
          <w:tcPr>
            <w:tcW w:w="3784"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c>
          <w:tcPr>
            <w:tcW w:w="2265"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r>
      <w:tr w:rsidR="00500523">
        <w:trPr>
          <w:trHeight w:val="1765"/>
        </w:trPr>
        <w:tc>
          <w:tcPr>
            <w:tcW w:w="4253"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vAlign w:val="center"/>
          </w:tcPr>
          <w:p w:rsidR="00500523" w:rsidRDefault="00266BD7">
            <w:pPr>
              <w:pStyle w:val="Body"/>
            </w:pPr>
            <w:r>
              <w:rPr>
                <w:rFonts w:ascii="Arial" w:hAnsi="Arial"/>
                <w:b/>
                <w:bCs/>
                <w:lang w:val="en-US"/>
              </w:rPr>
              <w:t>6. Provide confirmation that the Local Enterprise Partnership has a clear plan of activity to implement and communicate reforms in alignment with the LEP review policy statement.</w:t>
            </w:r>
            <w:r>
              <w:rPr>
                <w:rFonts w:ascii="Arial" w:hAnsi="Arial"/>
                <w:i/>
                <w:iCs/>
                <w:color w:val="FF0000"/>
                <w:u w:color="FF0000"/>
                <w:lang w:val="en-US"/>
              </w:rPr>
              <w:t xml:space="preserve">  </w:t>
            </w:r>
          </w:p>
        </w:tc>
        <w:tc>
          <w:tcPr>
            <w:tcW w:w="10679"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 xml:space="preserve">The Lancashire Enterprise Partnership has a clear plan of activity </w:t>
            </w:r>
            <w:r>
              <w:rPr>
                <w:rFonts w:ascii="Arial" w:hAnsi="Arial"/>
                <w:lang w:val="en-US"/>
              </w:rPr>
              <w:t>to implement and communicate the reforms as per the LEP review policy statement.  The implementation plan outlining planned activity has been developed, in consultation with colleagues from BEIS, and was submitted to Government for review on 31</w:t>
            </w:r>
            <w:r>
              <w:rPr>
                <w:rFonts w:ascii="Arial" w:hAnsi="Arial"/>
                <w:vertAlign w:val="superscript"/>
                <w:lang w:val="en-US"/>
              </w:rPr>
              <w:t>st</w:t>
            </w:r>
            <w:r>
              <w:rPr>
                <w:rFonts w:ascii="Arial" w:hAnsi="Arial"/>
                <w:lang w:val="en-US"/>
              </w:rPr>
              <w:t xml:space="preserve"> October 2</w:t>
            </w:r>
            <w:r>
              <w:rPr>
                <w:rFonts w:ascii="Arial" w:hAnsi="Arial"/>
                <w:lang w:val="en-US"/>
              </w:rPr>
              <w:t>018</w:t>
            </w:r>
          </w:p>
        </w:tc>
      </w:tr>
      <w:tr w:rsidR="00500523">
        <w:trPr>
          <w:trHeight w:val="253"/>
        </w:trPr>
        <w:tc>
          <w:tcPr>
            <w:tcW w:w="4253"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500523" w:rsidRDefault="00266BD7">
            <w:pPr>
              <w:pStyle w:val="Body"/>
            </w:pPr>
            <w:r>
              <w:rPr>
                <w:rFonts w:ascii="Arial" w:hAnsi="Arial"/>
                <w:lang w:val="en-US"/>
              </w:rPr>
              <w:t> </w:t>
            </w:r>
          </w:p>
        </w:tc>
        <w:tc>
          <w:tcPr>
            <w:tcW w:w="2251" w:type="dxa"/>
            <w:gridSpan w:val="2"/>
            <w:tcBorders>
              <w:top w:val="single" w:sz="8" w:space="0" w:color="000000"/>
              <w:left w:val="nil"/>
              <w:bottom w:val="nil"/>
              <w:right w:val="nil"/>
            </w:tcBorders>
            <w:shd w:val="clear" w:color="auto" w:fill="auto"/>
            <w:tcMar>
              <w:top w:w="80" w:type="dxa"/>
              <w:left w:w="80" w:type="dxa"/>
              <w:bottom w:w="80" w:type="dxa"/>
              <w:right w:w="80" w:type="dxa"/>
            </w:tcMar>
            <w:vAlign w:val="bottom"/>
          </w:tcPr>
          <w:p w:rsidR="00500523" w:rsidRDefault="00500523"/>
        </w:tc>
        <w:tc>
          <w:tcPr>
            <w:tcW w:w="236"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500523" w:rsidRDefault="00500523"/>
        </w:tc>
        <w:tc>
          <w:tcPr>
            <w:tcW w:w="3784"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500523" w:rsidRDefault="00500523"/>
        </w:tc>
        <w:tc>
          <w:tcPr>
            <w:tcW w:w="2265"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53"/>
        </w:trPr>
        <w:tc>
          <w:tcPr>
            <w:tcW w:w="4253" w:type="dxa"/>
            <w:tcBorders>
              <w:top w:val="nil"/>
              <w:left w:val="nil"/>
              <w:bottom w:val="nil"/>
              <w:right w:val="nil"/>
            </w:tcBorders>
            <w:shd w:val="clear" w:color="auto" w:fill="auto"/>
            <w:tcMar>
              <w:top w:w="80" w:type="dxa"/>
              <w:left w:w="80" w:type="dxa"/>
              <w:bottom w:w="80" w:type="dxa"/>
              <w:right w:w="80" w:type="dxa"/>
            </w:tcMar>
            <w:vAlign w:val="center"/>
          </w:tcPr>
          <w:p w:rsidR="00500523" w:rsidRDefault="00500523"/>
        </w:tc>
        <w:tc>
          <w:tcPr>
            <w:tcW w:w="2251" w:type="dxa"/>
            <w:gridSpan w:val="2"/>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23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3784"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2265"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53"/>
        </w:trPr>
        <w:tc>
          <w:tcPr>
            <w:tcW w:w="4253"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500523" w:rsidRDefault="00500523"/>
        </w:tc>
        <w:tc>
          <w:tcPr>
            <w:tcW w:w="2251"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c>
          <w:tcPr>
            <w:tcW w:w="236"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c>
          <w:tcPr>
            <w:tcW w:w="3784"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500523" w:rsidRDefault="00500523"/>
        </w:tc>
        <w:tc>
          <w:tcPr>
            <w:tcW w:w="2265"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43"/>
        </w:trPr>
        <w:tc>
          <w:tcPr>
            <w:tcW w:w="4253" w:type="dxa"/>
            <w:vMerge w:val="restar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vAlign w:val="center"/>
          </w:tcPr>
          <w:p w:rsidR="00500523" w:rsidRDefault="00266BD7">
            <w:pPr>
              <w:pStyle w:val="Body"/>
            </w:pPr>
            <w:r>
              <w:rPr>
                <w:rFonts w:ascii="Arial" w:hAnsi="Arial"/>
                <w:b/>
                <w:bCs/>
                <w:lang w:val="en-US"/>
              </w:rPr>
              <w:t xml:space="preserve">7.  Signature of Local Enterprise Partnership Chair </w:t>
            </w:r>
          </w:p>
        </w:tc>
        <w:tc>
          <w:tcPr>
            <w:tcW w:w="6271"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Printed:</w:t>
            </w:r>
          </w:p>
        </w:tc>
        <w:tc>
          <w:tcPr>
            <w:tcW w:w="226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33"/>
        </w:trPr>
        <w:tc>
          <w:tcPr>
            <w:tcW w:w="4253" w:type="dxa"/>
            <w:vMerge/>
            <w:tcBorders>
              <w:top w:val="single" w:sz="8" w:space="0" w:color="000000"/>
              <w:left w:val="single" w:sz="8" w:space="0" w:color="000000"/>
              <w:bottom w:val="single" w:sz="8" w:space="0" w:color="000000"/>
              <w:right w:val="single" w:sz="8" w:space="0" w:color="000000"/>
            </w:tcBorders>
            <w:shd w:val="clear" w:color="auto" w:fill="CCCCCC"/>
          </w:tcPr>
          <w:p w:rsidR="00500523" w:rsidRDefault="00500523"/>
        </w:tc>
        <w:tc>
          <w:tcPr>
            <w:tcW w:w="6271" w:type="dxa"/>
            <w:gridSpan w:val="4"/>
            <w:vMerge/>
            <w:tcBorders>
              <w:top w:val="single" w:sz="8" w:space="0" w:color="000000"/>
              <w:left w:val="single" w:sz="8" w:space="0" w:color="000000"/>
              <w:bottom w:val="single" w:sz="8" w:space="0" w:color="000000"/>
              <w:right w:val="single" w:sz="8" w:space="0" w:color="000000"/>
            </w:tcBorders>
            <w:shd w:val="clear" w:color="auto" w:fill="auto"/>
          </w:tcPr>
          <w:p w:rsidR="00500523" w:rsidRDefault="00500523"/>
        </w:tc>
        <w:tc>
          <w:tcPr>
            <w:tcW w:w="226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33"/>
        </w:trPr>
        <w:tc>
          <w:tcPr>
            <w:tcW w:w="4253" w:type="dxa"/>
            <w:vMerge/>
            <w:tcBorders>
              <w:top w:val="single" w:sz="8" w:space="0" w:color="000000"/>
              <w:left w:val="single" w:sz="8" w:space="0" w:color="000000"/>
              <w:bottom w:val="single" w:sz="8" w:space="0" w:color="000000"/>
              <w:right w:val="single" w:sz="8" w:space="0" w:color="000000"/>
            </w:tcBorders>
            <w:shd w:val="clear" w:color="auto" w:fill="CCCCCC"/>
          </w:tcPr>
          <w:p w:rsidR="00500523" w:rsidRDefault="00500523"/>
        </w:tc>
        <w:tc>
          <w:tcPr>
            <w:tcW w:w="6271" w:type="dxa"/>
            <w:gridSpan w:val="4"/>
            <w:vMerge/>
            <w:tcBorders>
              <w:top w:val="single" w:sz="8" w:space="0" w:color="000000"/>
              <w:left w:val="single" w:sz="8" w:space="0" w:color="000000"/>
              <w:bottom w:val="single" w:sz="8" w:space="0" w:color="000000"/>
              <w:right w:val="single" w:sz="8" w:space="0" w:color="000000"/>
            </w:tcBorders>
            <w:shd w:val="clear" w:color="auto" w:fill="auto"/>
          </w:tcPr>
          <w:p w:rsidR="00500523" w:rsidRDefault="00500523"/>
        </w:tc>
        <w:tc>
          <w:tcPr>
            <w:tcW w:w="226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33"/>
        </w:trPr>
        <w:tc>
          <w:tcPr>
            <w:tcW w:w="4253" w:type="dxa"/>
            <w:vMerge/>
            <w:tcBorders>
              <w:top w:val="single" w:sz="8" w:space="0" w:color="000000"/>
              <w:left w:val="single" w:sz="8" w:space="0" w:color="000000"/>
              <w:bottom w:val="single" w:sz="8" w:space="0" w:color="000000"/>
              <w:right w:val="single" w:sz="8" w:space="0" w:color="000000"/>
            </w:tcBorders>
            <w:shd w:val="clear" w:color="auto" w:fill="CCCCCC"/>
          </w:tcPr>
          <w:p w:rsidR="00500523" w:rsidRDefault="00500523"/>
        </w:tc>
        <w:tc>
          <w:tcPr>
            <w:tcW w:w="6271" w:type="dxa"/>
            <w:gridSpan w:val="4"/>
            <w:vMerge/>
            <w:tcBorders>
              <w:top w:val="single" w:sz="8" w:space="0" w:color="000000"/>
              <w:left w:val="single" w:sz="8" w:space="0" w:color="000000"/>
              <w:bottom w:val="single" w:sz="8" w:space="0" w:color="000000"/>
              <w:right w:val="single" w:sz="8" w:space="0" w:color="000000"/>
            </w:tcBorders>
            <w:shd w:val="clear" w:color="auto" w:fill="auto"/>
          </w:tcPr>
          <w:p w:rsidR="00500523" w:rsidRDefault="00500523"/>
        </w:tc>
        <w:tc>
          <w:tcPr>
            <w:tcW w:w="226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33"/>
        </w:trPr>
        <w:tc>
          <w:tcPr>
            <w:tcW w:w="4253" w:type="dxa"/>
            <w:vMerge/>
            <w:tcBorders>
              <w:top w:val="single" w:sz="8" w:space="0" w:color="000000"/>
              <w:left w:val="single" w:sz="8" w:space="0" w:color="000000"/>
              <w:bottom w:val="single" w:sz="8" w:space="0" w:color="000000"/>
              <w:right w:val="single" w:sz="8" w:space="0" w:color="000000"/>
            </w:tcBorders>
            <w:shd w:val="clear" w:color="auto" w:fill="CCCCCC"/>
          </w:tcPr>
          <w:p w:rsidR="00500523" w:rsidRDefault="00500523"/>
        </w:tc>
        <w:tc>
          <w:tcPr>
            <w:tcW w:w="6271" w:type="dxa"/>
            <w:gridSpan w:val="4"/>
            <w:vMerge/>
            <w:tcBorders>
              <w:top w:val="single" w:sz="8" w:space="0" w:color="000000"/>
              <w:left w:val="single" w:sz="8" w:space="0" w:color="000000"/>
              <w:bottom w:val="single" w:sz="8" w:space="0" w:color="000000"/>
              <w:right w:val="single" w:sz="8" w:space="0" w:color="000000"/>
            </w:tcBorders>
            <w:shd w:val="clear" w:color="auto" w:fill="auto"/>
          </w:tcPr>
          <w:p w:rsidR="00500523" w:rsidRDefault="00500523"/>
        </w:tc>
        <w:tc>
          <w:tcPr>
            <w:tcW w:w="226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43"/>
        </w:trPr>
        <w:tc>
          <w:tcPr>
            <w:tcW w:w="4253" w:type="dxa"/>
            <w:vMerge/>
            <w:tcBorders>
              <w:top w:val="single" w:sz="8" w:space="0" w:color="000000"/>
              <w:left w:val="single" w:sz="8" w:space="0" w:color="000000"/>
              <w:bottom w:val="single" w:sz="8" w:space="0" w:color="000000"/>
              <w:right w:val="single" w:sz="8" w:space="0" w:color="000000"/>
            </w:tcBorders>
            <w:shd w:val="clear" w:color="auto" w:fill="CCCCCC"/>
          </w:tcPr>
          <w:p w:rsidR="00500523" w:rsidRDefault="00500523"/>
        </w:tc>
        <w:tc>
          <w:tcPr>
            <w:tcW w:w="6271" w:type="dxa"/>
            <w:gridSpan w:val="4"/>
            <w:vMerge/>
            <w:tcBorders>
              <w:top w:val="single" w:sz="8" w:space="0" w:color="000000"/>
              <w:left w:val="single" w:sz="8" w:space="0" w:color="000000"/>
              <w:bottom w:val="single" w:sz="8" w:space="0" w:color="000000"/>
              <w:right w:val="single" w:sz="8" w:space="0" w:color="000000"/>
            </w:tcBorders>
            <w:shd w:val="clear" w:color="auto" w:fill="auto"/>
          </w:tcPr>
          <w:p w:rsidR="00500523" w:rsidRDefault="00500523"/>
        </w:tc>
        <w:tc>
          <w:tcPr>
            <w:tcW w:w="226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53"/>
        </w:trPr>
        <w:tc>
          <w:tcPr>
            <w:tcW w:w="425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500523" w:rsidRDefault="00500523"/>
        </w:tc>
        <w:tc>
          <w:tcPr>
            <w:tcW w:w="2251"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500523" w:rsidRDefault="00500523"/>
        </w:tc>
        <w:tc>
          <w:tcPr>
            <w:tcW w:w="23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500523" w:rsidRDefault="00500523"/>
        </w:tc>
        <w:tc>
          <w:tcPr>
            <w:tcW w:w="378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500523" w:rsidRDefault="00500523"/>
        </w:tc>
        <w:tc>
          <w:tcPr>
            <w:tcW w:w="2265"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53"/>
        </w:trPr>
        <w:tc>
          <w:tcPr>
            <w:tcW w:w="4253"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vAlign w:val="center"/>
          </w:tcPr>
          <w:p w:rsidR="00500523" w:rsidRDefault="00266BD7">
            <w:pPr>
              <w:pStyle w:val="Body"/>
            </w:pPr>
            <w:r>
              <w:rPr>
                <w:rFonts w:ascii="Arial" w:hAnsi="Arial"/>
                <w:b/>
                <w:bCs/>
                <w:lang w:val="en-US"/>
              </w:rPr>
              <w:t xml:space="preserve">Date </w:t>
            </w:r>
          </w:p>
        </w:tc>
        <w:tc>
          <w:tcPr>
            <w:tcW w:w="6271"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 </w:t>
            </w:r>
          </w:p>
        </w:tc>
        <w:tc>
          <w:tcPr>
            <w:tcW w:w="226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53"/>
        </w:trPr>
        <w:tc>
          <w:tcPr>
            <w:tcW w:w="425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500523" w:rsidRDefault="00500523"/>
        </w:tc>
        <w:tc>
          <w:tcPr>
            <w:tcW w:w="2251"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500523" w:rsidRDefault="00500523"/>
        </w:tc>
        <w:tc>
          <w:tcPr>
            <w:tcW w:w="23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500523" w:rsidRDefault="00500523"/>
        </w:tc>
        <w:tc>
          <w:tcPr>
            <w:tcW w:w="378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500523" w:rsidRDefault="00500523"/>
        </w:tc>
        <w:tc>
          <w:tcPr>
            <w:tcW w:w="2265"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43"/>
        </w:trPr>
        <w:tc>
          <w:tcPr>
            <w:tcW w:w="4253" w:type="dxa"/>
            <w:vMerge w:val="restar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vAlign w:val="center"/>
          </w:tcPr>
          <w:p w:rsidR="00500523" w:rsidRDefault="00266BD7">
            <w:pPr>
              <w:pStyle w:val="Body"/>
            </w:pPr>
            <w:r>
              <w:rPr>
                <w:rFonts w:ascii="Arial" w:hAnsi="Arial"/>
                <w:b/>
                <w:bCs/>
                <w:lang w:val="en-US"/>
              </w:rPr>
              <w:t>8.  Signature from section 31 accountable local authority</w:t>
            </w:r>
          </w:p>
        </w:tc>
        <w:tc>
          <w:tcPr>
            <w:tcW w:w="6271"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Printed:</w:t>
            </w:r>
          </w:p>
        </w:tc>
        <w:tc>
          <w:tcPr>
            <w:tcW w:w="226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33"/>
        </w:trPr>
        <w:tc>
          <w:tcPr>
            <w:tcW w:w="4253" w:type="dxa"/>
            <w:vMerge/>
            <w:tcBorders>
              <w:top w:val="single" w:sz="8" w:space="0" w:color="000000"/>
              <w:left w:val="single" w:sz="8" w:space="0" w:color="000000"/>
              <w:bottom w:val="single" w:sz="8" w:space="0" w:color="000000"/>
              <w:right w:val="single" w:sz="8" w:space="0" w:color="000000"/>
            </w:tcBorders>
            <w:shd w:val="clear" w:color="auto" w:fill="CCCCCC"/>
          </w:tcPr>
          <w:p w:rsidR="00500523" w:rsidRDefault="00500523"/>
        </w:tc>
        <w:tc>
          <w:tcPr>
            <w:tcW w:w="6271" w:type="dxa"/>
            <w:gridSpan w:val="4"/>
            <w:vMerge/>
            <w:tcBorders>
              <w:top w:val="single" w:sz="8" w:space="0" w:color="000000"/>
              <w:left w:val="single" w:sz="8" w:space="0" w:color="000000"/>
              <w:bottom w:val="single" w:sz="8" w:space="0" w:color="000000"/>
              <w:right w:val="single" w:sz="8" w:space="0" w:color="000000"/>
            </w:tcBorders>
            <w:shd w:val="clear" w:color="auto" w:fill="auto"/>
          </w:tcPr>
          <w:p w:rsidR="00500523" w:rsidRDefault="00500523"/>
        </w:tc>
        <w:tc>
          <w:tcPr>
            <w:tcW w:w="226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33"/>
        </w:trPr>
        <w:tc>
          <w:tcPr>
            <w:tcW w:w="4253" w:type="dxa"/>
            <w:vMerge/>
            <w:tcBorders>
              <w:top w:val="single" w:sz="8" w:space="0" w:color="000000"/>
              <w:left w:val="single" w:sz="8" w:space="0" w:color="000000"/>
              <w:bottom w:val="single" w:sz="8" w:space="0" w:color="000000"/>
              <w:right w:val="single" w:sz="8" w:space="0" w:color="000000"/>
            </w:tcBorders>
            <w:shd w:val="clear" w:color="auto" w:fill="CCCCCC"/>
          </w:tcPr>
          <w:p w:rsidR="00500523" w:rsidRDefault="00500523"/>
        </w:tc>
        <w:tc>
          <w:tcPr>
            <w:tcW w:w="6271" w:type="dxa"/>
            <w:gridSpan w:val="4"/>
            <w:vMerge/>
            <w:tcBorders>
              <w:top w:val="single" w:sz="8" w:space="0" w:color="000000"/>
              <w:left w:val="single" w:sz="8" w:space="0" w:color="000000"/>
              <w:bottom w:val="single" w:sz="8" w:space="0" w:color="000000"/>
              <w:right w:val="single" w:sz="8" w:space="0" w:color="000000"/>
            </w:tcBorders>
            <w:shd w:val="clear" w:color="auto" w:fill="auto"/>
          </w:tcPr>
          <w:p w:rsidR="00500523" w:rsidRDefault="00500523"/>
        </w:tc>
        <w:tc>
          <w:tcPr>
            <w:tcW w:w="226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33"/>
        </w:trPr>
        <w:tc>
          <w:tcPr>
            <w:tcW w:w="4253" w:type="dxa"/>
            <w:vMerge/>
            <w:tcBorders>
              <w:top w:val="single" w:sz="8" w:space="0" w:color="000000"/>
              <w:left w:val="single" w:sz="8" w:space="0" w:color="000000"/>
              <w:bottom w:val="single" w:sz="8" w:space="0" w:color="000000"/>
              <w:right w:val="single" w:sz="8" w:space="0" w:color="000000"/>
            </w:tcBorders>
            <w:shd w:val="clear" w:color="auto" w:fill="CCCCCC"/>
          </w:tcPr>
          <w:p w:rsidR="00500523" w:rsidRDefault="00500523"/>
        </w:tc>
        <w:tc>
          <w:tcPr>
            <w:tcW w:w="6271" w:type="dxa"/>
            <w:gridSpan w:val="4"/>
            <w:vMerge/>
            <w:tcBorders>
              <w:top w:val="single" w:sz="8" w:space="0" w:color="000000"/>
              <w:left w:val="single" w:sz="8" w:space="0" w:color="000000"/>
              <w:bottom w:val="single" w:sz="8" w:space="0" w:color="000000"/>
              <w:right w:val="single" w:sz="8" w:space="0" w:color="000000"/>
            </w:tcBorders>
            <w:shd w:val="clear" w:color="auto" w:fill="auto"/>
          </w:tcPr>
          <w:p w:rsidR="00500523" w:rsidRDefault="00500523"/>
        </w:tc>
        <w:tc>
          <w:tcPr>
            <w:tcW w:w="226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33"/>
        </w:trPr>
        <w:tc>
          <w:tcPr>
            <w:tcW w:w="4253" w:type="dxa"/>
            <w:vMerge/>
            <w:tcBorders>
              <w:top w:val="single" w:sz="8" w:space="0" w:color="000000"/>
              <w:left w:val="single" w:sz="8" w:space="0" w:color="000000"/>
              <w:bottom w:val="single" w:sz="8" w:space="0" w:color="000000"/>
              <w:right w:val="single" w:sz="8" w:space="0" w:color="000000"/>
            </w:tcBorders>
            <w:shd w:val="clear" w:color="auto" w:fill="CCCCCC"/>
          </w:tcPr>
          <w:p w:rsidR="00500523" w:rsidRDefault="00500523"/>
        </w:tc>
        <w:tc>
          <w:tcPr>
            <w:tcW w:w="6271" w:type="dxa"/>
            <w:gridSpan w:val="4"/>
            <w:vMerge/>
            <w:tcBorders>
              <w:top w:val="single" w:sz="8" w:space="0" w:color="000000"/>
              <w:left w:val="single" w:sz="8" w:space="0" w:color="000000"/>
              <w:bottom w:val="single" w:sz="8" w:space="0" w:color="000000"/>
              <w:right w:val="single" w:sz="8" w:space="0" w:color="000000"/>
            </w:tcBorders>
            <w:shd w:val="clear" w:color="auto" w:fill="auto"/>
          </w:tcPr>
          <w:p w:rsidR="00500523" w:rsidRDefault="00500523"/>
        </w:tc>
        <w:tc>
          <w:tcPr>
            <w:tcW w:w="226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43"/>
        </w:trPr>
        <w:tc>
          <w:tcPr>
            <w:tcW w:w="4253" w:type="dxa"/>
            <w:vMerge/>
            <w:tcBorders>
              <w:top w:val="single" w:sz="8" w:space="0" w:color="000000"/>
              <w:left w:val="single" w:sz="8" w:space="0" w:color="000000"/>
              <w:bottom w:val="single" w:sz="8" w:space="0" w:color="000000"/>
              <w:right w:val="single" w:sz="8" w:space="0" w:color="000000"/>
            </w:tcBorders>
            <w:shd w:val="clear" w:color="auto" w:fill="CCCCCC"/>
          </w:tcPr>
          <w:p w:rsidR="00500523" w:rsidRDefault="00500523"/>
        </w:tc>
        <w:tc>
          <w:tcPr>
            <w:tcW w:w="6271" w:type="dxa"/>
            <w:gridSpan w:val="4"/>
            <w:vMerge/>
            <w:tcBorders>
              <w:top w:val="single" w:sz="8" w:space="0" w:color="000000"/>
              <w:left w:val="single" w:sz="8" w:space="0" w:color="000000"/>
              <w:bottom w:val="single" w:sz="8" w:space="0" w:color="000000"/>
              <w:right w:val="single" w:sz="8" w:space="0" w:color="000000"/>
            </w:tcBorders>
            <w:shd w:val="clear" w:color="auto" w:fill="auto"/>
          </w:tcPr>
          <w:p w:rsidR="00500523" w:rsidRDefault="00500523"/>
        </w:tc>
        <w:tc>
          <w:tcPr>
            <w:tcW w:w="226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53"/>
        </w:trPr>
        <w:tc>
          <w:tcPr>
            <w:tcW w:w="425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500523" w:rsidRDefault="00500523"/>
        </w:tc>
        <w:tc>
          <w:tcPr>
            <w:tcW w:w="2251"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500523" w:rsidRDefault="00500523"/>
        </w:tc>
        <w:tc>
          <w:tcPr>
            <w:tcW w:w="23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500523" w:rsidRDefault="00500523"/>
        </w:tc>
        <w:tc>
          <w:tcPr>
            <w:tcW w:w="378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500523" w:rsidRDefault="00500523"/>
        </w:tc>
        <w:tc>
          <w:tcPr>
            <w:tcW w:w="2265"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r w:rsidR="00500523">
        <w:trPr>
          <w:trHeight w:val="253"/>
        </w:trPr>
        <w:tc>
          <w:tcPr>
            <w:tcW w:w="4253"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vAlign w:val="center"/>
          </w:tcPr>
          <w:p w:rsidR="00500523" w:rsidRDefault="00266BD7">
            <w:pPr>
              <w:pStyle w:val="Body"/>
            </w:pPr>
            <w:r>
              <w:rPr>
                <w:rFonts w:ascii="Arial" w:hAnsi="Arial"/>
                <w:b/>
                <w:bCs/>
                <w:lang w:val="en-US"/>
              </w:rPr>
              <w:t xml:space="preserve">Date </w:t>
            </w:r>
          </w:p>
        </w:tc>
        <w:tc>
          <w:tcPr>
            <w:tcW w:w="6271"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00523" w:rsidRDefault="00266BD7">
            <w:pPr>
              <w:pStyle w:val="Body"/>
            </w:pPr>
            <w:r>
              <w:rPr>
                <w:rFonts w:ascii="Arial" w:hAnsi="Arial"/>
                <w:lang w:val="en-US"/>
              </w:rPr>
              <w:t> </w:t>
            </w:r>
          </w:p>
        </w:tc>
        <w:tc>
          <w:tcPr>
            <w:tcW w:w="226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00523" w:rsidRDefault="00500523"/>
        </w:tc>
        <w:tc>
          <w:tcPr>
            <w:tcW w:w="1216"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c>
          <w:tcPr>
            <w:tcW w:w="927" w:type="dxa"/>
            <w:tcBorders>
              <w:top w:val="nil"/>
              <w:left w:val="nil"/>
              <w:bottom w:val="nil"/>
              <w:right w:val="nil"/>
            </w:tcBorders>
            <w:shd w:val="clear" w:color="auto" w:fill="auto"/>
            <w:tcMar>
              <w:top w:w="80" w:type="dxa"/>
              <w:left w:w="80" w:type="dxa"/>
              <w:bottom w:w="80" w:type="dxa"/>
              <w:right w:w="80" w:type="dxa"/>
            </w:tcMar>
            <w:vAlign w:val="bottom"/>
          </w:tcPr>
          <w:p w:rsidR="00500523" w:rsidRDefault="00500523"/>
        </w:tc>
      </w:tr>
    </w:tbl>
    <w:p w:rsidR="00500523" w:rsidRDefault="00500523">
      <w:pPr>
        <w:pStyle w:val="Body"/>
        <w:widowControl w:val="0"/>
        <w:ind w:left="108" w:hanging="108"/>
      </w:pPr>
    </w:p>
    <w:p w:rsidR="00500523" w:rsidRDefault="00500523">
      <w:pPr>
        <w:pStyle w:val="Body"/>
      </w:pPr>
    </w:p>
    <w:p w:rsidR="00500523" w:rsidRDefault="00500523">
      <w:pPr>
        <w:pStyle w:val="Body"/>
      </w:pPr>
    </w:p>
    <w:sectPr w:rsidR="00500523">
      <w:headerReference w:type="default" r:id="rId8"/>
      <w:footerReference w:type="default" r:id="rId9"/>
      <w:pgSz w:w="16840" w:h="11900" w:orient="landscape"/>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66BD7">
      <w:r>
        <w:separator/>
      </w:r>
    </w:p>
  </w:endnote>
  <w:endnote w:type="continuationSeparator" w:id="0">
    <w:p w:rsidR="00000000" w:rsidRDefault="0026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23" w:rsidRDefault="00500523">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66BD7">
      <w:r>
        <w:separator/>
      </w:r>
    </w:p>
  </w:footnote>
  <w:footnote w:type="continuationSeparator" w:id="0">
    <w:p w:rsidR="00000000" w:rsidRDefault="00266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23" w:rsidRDefault="00500523">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23"/>
    <w:rsid w:val="00266BD7"/>
    <w:rsid w:val="00500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3170C-145D-4C7E-B233-0AC49240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NormalWeb">
    <w:name w:val="Normal (Web)"/>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thryn.molloy@lanca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Ppolicy@communities.gsi.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1191</Words>
  <Characters>6793</Characters>
  <Application>Microsoft Office Word</Application>
  <DocSecurity>0</DocSecurity>
  <Lines>56</Lines>
  <Paragraphs>15</Paragraphs>
  <ScaleCrop>false</ScaleCrop>
  <Company>BT Lancashire Services Limited</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Milroy, Andy</cp:lastModifiedBy>
  <cp:revision>2</cp:revision>
  <dcterms:created xsi:type="dcterms:W3CDTF">2018-10-31T15:18:00Z</dcterms:created>
  <dcterms:modified xsi:type="dcterms:W3CDTF">2018-10-31T15:18:00Z</dcterms:modified>
</cp:coreProperties>
</file>